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0"/>
        </w:rPr>
        <w:t>GUIDED GRACE FAMILY &amp; YOUTH SERVICES</w:t>
      </w:r>
    </w:p>
    <w:p>
      <w:pPr>
        <w:pStyle w:val="Title"/>
      </w:pPr>
      <w:r>
        <w:t>Unity Ball Classic 2026</w:t>
        <w:br/>
        <w:t>Event Impact Report</w:t>
      </w:r>
    </w:p>
    <w:p>
      <w:pPr>
        <w:spacing w:after="260"/>
      </w:pPr>
      <w:r>
        <w:t>June 27, 2026  |  Dow Event Center  |  Saginaw, Michigan</w:t>
      </w:r>
    </w:p>
    <w:p>
      <w:r>
        <w:t>The 2026 Unity Ball Classic brought together 67 basketball teams, 261 players, and more than 1,200 attendees for a community event centered on youth, families, and connection. Guided Grace Family &amp; Youth Services organized the 3-on-3 tournament in partnership with Saginaw County ALPACT, using basketball as an opportunity to promote positive youth engagement and violence prevention.</w:t>
      </w:r>
    </w:p>
    <w:p>
      <w:pPr>
        <w:pStyle w:val="Heading1"/>
      </w:pPr>
      <w:r>
        <w:t>Participation and growth</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768"/>
        <w:gridCol w:w="3168"/>
      </w:tblGrid>
      <w:tr>
        <w:trPr>
          <w:tblHeader/>
        </w:trPr>
        <w:tc>
          <w:tcPr>
            <w:tcW w:type="dxa" w:w="4968"/>
            <w:vAlign w:val="center"/>
            <w:shd w:fill="173B50"/>
            <w:tcMar>
              <w:top w:w="100" w:type="dxa"/>
              <w:left w:w="100" w:type="dxa"/>
              <w:bottom w:w="100" w:type="dxa"/>
              <w:right w:w="100" w:type="dxa"/>
            </w:tcMar>
          </w:tcPr>
          <w:p>
            <w:pPr>
              <w:spacing w:after="100" w:before="100" w:line="240" w:lineRule="auto"/>
            </w:pPr>
            <w:r>
              <w:rPr>
                <w:b/>
                <w:color w:val="FFFFFF"/>
                <w:sz w:val="22"/>
              </w:rPr>
              <w:t>Participation measure</w:t>
            </w:r>
          </w:p>
        </w:tc>
        <w:tc>
          <w:tcPr>
            <w:tcW w:type="dxa" w:w="4968"/>
            <w:vAlign w:val="center"/>
            <w:shd w:fill="173B50"/>
            <w:tcMar>
              <w:top w:w="100" w:type="dxa"/>
              <w:left w:w="100" w:type="dxa"/>
              <w:bottom w:w="100" w:type="dxa"/>
              <w:right w:w="100" w:type="dxa"/>
            </w:tcMar>
          </w:tcPr>
          <w:p>
            <w:pPr>
              <w:spacing w:after="100" w:before="100" w:line="240" w:lineRule="auto"/>
              <w:jc w:val="center"/>
            </w:pPr>
            <w:r>
              <w:rPr>
                <w:b/>
                <w:color w:val="FFFFFF"/>
                <w:sz w:val="22"/>
              </w:rPr>
              <w:t>Reported result</w:t>
            </w:r>
          </w:p>
        </w:tc>
      </w:tr>
      <w:tr>
        <w:tc>
          <w:tcPr>
            <w:tcW w:type="dxa" w:w="6768"/>
            <w:vAlign w:val="center"/>
            <w:shd w:fill="F0F4F6"/>
            <w:tcMar>
              <w:top w:w="100" w:type="dxa"/>
              <w:left w:w="100" w:type="dxa"/>
              <w:bottom w:w="100" w:type="dxa"/>
              <w:right w:w="100" w:type="dxa"/>
            </w:tcMar>
          </w:tcPr>
          <w:p>
            <w:pPr>
              <w:spacing w:after="100" w:before="100" w:line="240" w:lineRule="auto"/>
            </w:pPr>
            <w:r>
              <w:rPr>
                <w:sz w:val="22"/>
              </w:rPr>
              <w:t>Basketball teams</w:t>
            </w:r>
          </w:p>
        </w:tc>
        <w:tc>
          <w:tcPr>
            <w:tcW w:type="dxa" w:w="3168"/>
            <w:vAlign w:val="center"/>
            <w:shd w:fill="F0F4F6"/>
            <w:tcMar>
              <w:top w:w="100" w:type="dxa"/>
              <w:left w:w="100" w:type="dxa"/>
              <w:bottom w:w="100" w:type="dxa"/>
              <w:right w:w="100" w:type="dxa"/>
            </w:tcMar>
          </w:tcPr>
          <w:p>
            <w:pPr>
              <w:spacing w:after="100" w:before="100" w:line="240" w:lineRule="auto"/>
              <w:jc w:val="center"/>
            </w:pPr>
            <w:r>
              <w:rPr>
                <w:sz w:val="22"/>
              </w:rPr>
              <w:t>67</w:t>
            </w:r>
          </w:p>
        </w:tc>
      </w:tr>
      <w:tr>
        <w:tc>
          <w:tcPr>
            <w:tcW w:type="dxa" w:w="6768"/>
            <w:vAlign w:val="center"/>
            <w:shd w:fill="FFFFFF"/>
            <w:tcMar>
              <w:top w:w="100" w:type="dxa"/>
              <w:left w:w="100" w:type="dxa"/>
              <w:bottom w:w="100" w:type="dxa"/>
              <w:right w:w="100" w:type="dxa"/>
            </w:tcMar>
          </w:tcPr>
          <w:p>
            <w:pPr>
              <w:spacing w:after="100" w:before="100" w:line="240" w:lineRule="auto"/>
            </w:pPr>
            <w:r>
              <w:rPr>
                <w:sz w:val="22"/>
              </w:rPr>
              <w:t>Players</w:t>
            </w:r>
          </w:p>
        </w:tc>
        <w:tc>
          <w:tcPr>
            <w:tcW w:type="dxa" w:w="3168"/>
            <w:vAlign w:val="center"/>
            <w:shd w:fill="FFFFFF"/>
            <w:tcMar>
              <w:top w:w="100" w:type="dxa"/>
              <w:left w:w="100" w:type="dxa"/>
              <w:bottom w:w="100" w:type="dxa"/>
              <w:right w:w="100" w:type="dxa"/>
            </w:tcMar>
          </w:tcPr>
          <w:p>
            <w:pPr>
              <w:spacing w:after="100" w:before="100" w:line="240" w:lineRule="auto"/>
              <w:jc w:val="center"/>
            </w:pPr>
            <w:r>
              <w:rPr>
                <w:sz w:val="22"/>
              </w:rPr>
              <w:t>261</w:t>
            </w:r>
          </w:p>
        </w:tc>
      </w:tr>
      <w:tr>
        <w:tc>
          <w:tcPr>
            <w:tcW w:type="dxa" w:w="6768"/>
            <w:vAlign w:val="center"/>
            <w:shd w:fill="F0F4F6"/>
            <w:tcMar>
              <w:top w:w="100" w:type="dxa"/>
              <w:left w:w="100" w:type="dxa"/>
              <w:bottom w:w="100" w:type="dxa"/>
              <w:right w:w="100" w:type="dxa"/>
            </w:tcMar>
          </w:tcPr>
          <w:p>
            <w:pPr>
              <w:spacing w:after="100" w:before="100" w:line="240" w:lineRule="auto"/>
            </w:pPr>
            <w:r>
              <w:rPr>
                <w:sz w:val="22"/>
              </w:rPr>
              <w:t>Event attendance</w:t>
            </w:r>
          </w:p>
        </w:tc>
        <w:tc>
          <w:tcPr>
            <w:tcW w:type="dxa" w:w="3168"/>
            <w:vAlign w:val="center"/>
            <w:shd w:fill="F0F4F6"/>
            <w:tcMar>
              <w:top w:w="100" w:type="dxa"/>
              <w:left w:w="100" w:type="dxa"/>
              <w:bottom w:w="100" w:type="dxa"/>
              <w:right w:w="100" w:type="dxa"/>
            </w:tcMar>
          </w:tcPr>
          <w:p>
            <w:pPr>
              <w:spacing w:after="100" w:before="100" w:line="240" w:lineRule="auto"/>
              <w:jc w:val="center"/>
            </w:pPr>
            <w:r>
              <w:rPr>
                <w:sz w:val="22"/>
              </w:rPr>
              <w:t>More than 1,200</w:t>
            </w:r>
          </w:p>
        </w:tc>
      </w:tr>
      <w:tr>
        <w:tc>
          <w:tcPr>
            <w:tcW w:type="dxa" w:w="6768"/>
            <w:vAlign w:val="center"/>
            <w:shd w:fill="FFFFFF"/>
            <w:tcMar>
              <w:top w:w="100" w:type="dxa"/>
              <w:left w:w="100" w:type="dxa"/>
              <w:bottom w:w="100" w:type="dxa"/>
              <w:right w:w="100" w:type="dxa"/>
            </w:tcMar>
          </w:tcPr>
          <w:p>
            <w:pPr>
              <w:spacing w:after="100" w:before="100" w:line="240" w:lineRule="auto"/>
            </w:pPr>
            <w:r>
              <w:rPr>
                <w:sz w:val="22"/>
              </w:rPr>
              <w:t>Teams at the previous event</w:t>
            </w:r>
          </w:p>
        </w:tc>
        <w:tc>
          <w:tcPr>
            <w:tcW w:type="dxa" w:w="3168"/>
            <w:vAlign w:val="center"/>
            <w:shd w:fill="FFFFFF"/>
            <w:tcMar>
              <w:top w:w="100" w:type="dxa"/>
              <w:left w:w="100" w:type="dxa"/>
              <w:bottom w:w="100" w:type="dxa"/>
              <w:right w:w="100" w:type="dxa"/>
            </w:tcMar>
          </w:tcPr>
          <w:p>
            <w:pPr>
              <w:spacing w:after="100" w:before="100" w:line="240" w:lineRule="auto"/>
              <w:jc w:val="center"/>
            </w:pPr>
            <w:r>
              <w:rPr>
                <w:sz w:val="22"/>
              </w:rPr>
              <w:t>30</w:t>
            </w:r>
          </w:p>
        </w:tc>
      </w:tr>
      <w:tr>
        <w:tc>
          <w:tcPr>
            <w:tcW w:type="dxa" w:w="6768"/>
            <w:vAlign w:val="center"/>
            <w:shd w:fill="F0F4F6"/>
            <w:tcMar>
              <w:top w:w="100" w:type="dxa"/>
              <w:left w:w="100" w:type="dxa"/>
              <w:bottom w:w="100" w:type="dxa"/>
              <w:right w:w="100" w:type="dxa"/>
            </w:tcMar>
          </w:tcPr>
          <w:p>
            <w:pPr>
              <w:spacing w:after="100" w:before="100" w:line="240" w:lineRule="auto"/>
            </w:pPr>
            <w:r>
              <w:rPr>
                <w:sz w:val="22"/>
              </w:rPr>
              <w:t>Growth in team participation</w:t>
            </w:r>
          </w:p>
        </w:tc>
        <w:tc>
          <w:tcPr>
            <w:tcW w:type="dxa" w:w="3168"/>
            <w:vAlign w:val="center"/>
            <w:shd w:fill="F0F4F6"/>
            <w:tcMar>
              <w:top w:w="100" w:type="dxa"/>
              <w:left w:w="100" w:type="dxa"/>
              <w:bottom w:w="100" w:type="dxa"/>
              <w:right w:w="100" w:type="dxa"/>
            </w:tcMar>
          </w:tcPr>
          <w:p>
            <w:pPr>
              <w:spacing w:after="100" w:before="100" w:line="240" w:lineRule="auto"/>
              <w:jc w:val="center"/>
            </w:pPr>
            <w:r>
              <w:rPr>
                <w:sz w:val="22"/>
              </w:rPr>
              <w:t>37 additional teams | 123%</w:t>
            </w:r>
          </w:p>
        </w:tc>
      </w:tr>
    </w:tbl>
    <w:p>
      <w:pPr>
        <w:spacing w:before="120"/>
      </w:pPr>
      <w:r>
        <w:rPr>
          <w:color w:val="555555"/>
          <w:sz w:val="18"/>
        </w:rPr>
        <w:t>Figures reflect organizer reporting. Attendance is reported separately from player counts; these figures are not added together. Team growth is calculated from 30 to 67 teams and rounded to the nearest whole percent.</w:t>
      </w:r>
    </w:p>
    <w:p>
      <w:pPr>
        <w:pStyle w:val="Heading1"/>
      </w:pPr>
      <w:r>
        <w:t>What these results show</w:t>
      </w:r>
    </w:p>
    <w:p>
      <w:r>
        <w:t>Team participation more than doubled from the previous event. That growth demonstrates increased participation in the tournament and provides a concrete basis for continued investment in an event that brings young people and families together around organized recreation.</w:t>
      </w:r>
    </w:p>
    <w:p>
      <w:r>
        <w:t>Free team registration reduced a direct cost of participation for players. The tournament offered a setting to practice teamwork and sportsmanship while participating in physical activity. These are opportunities created by the event; attendance and participation counts do not, by themselves, measure long-term changes in behavior or community violence.</w:t>
      </w:r>
    </w:p>
    <w:p>
      <w:r>
        <w:br w:type="page"/>
      </w:r>
    </w:p>
    <w:p>
      <w:pPr>
        <w:pStyle w:val="Heading1"/>
      </w:pPr>
      <w:r>
        <w:t>Community participation beyond the court</w:t>
      </w:r>
    </w:p>
    <w:p>
      <w:r>
        <w:t>The Unity Ball Classic combined basketball with activities for families and opportunities for youth enterprise. Event offerings included face painting, henna tattoos, a DJ, cotton candy, a selfie tent, and a three-point contest. Youth entrepreneurs, including Mythic Brand and BEUTEAFUL, were featured as part of the event.</w:t>
      </w:r>
    </w:p>
    <w:p>
      <w:r>
        <w:t>This broader format gave families reasons to participate beyond watching games and placed youth creativity and entrepreneurship alongside athletic achievement. The partnership with Saginaw County ALPACT connected the event to its community engagement and violence-prevention purpose.</w:t>
      </w:r>
    </w:p>
    <w:p>
      <w:pPr>
        <w:pStyle w:val="Heading1"/>
      </w:pPr>
      <w:r>
        <w:t>Sponsor recognition and media coverage</w:t>
      </w:r>
    </w:p>
    <w:p>
      <w:r>
        <w:t>Event T-shirts displayed sponsor names, providing visible recognition throughout the Unity Ball Classic. Connoisseur Media and Gray Media / WNEM-TV5 provided full coverage of the event, alongside several bloggers and content creators.</w:t>
      </w:r>
    </w:p>
    <w:p>
      <w:r>
        <w:t>This coverage extended the event’s visibility beyond the venue, while the T-shirts connected sponsor support directly to the event experience.</w:t>
      </w:r>
    </w:p>
    <w:p>
      <w:pPr>
        <w:pStyle w:val="Heading1"/>
      </w:pPr>
      <w:r>
        <w:t>Why this matters to community sponsors</w:t>
      </w:r>
    </w:p>
    <w:p>
      <w:r>
        <w:t>The 2026 results show that the Unity Ball Classic can attract substantial local participation: 67 teams and more than 1,200 attendees. For companies seeking a meaningful community presence, the event offers a setting to support youth recreation, engage families, and participate in a shared community experience.</w:t>
      </w:r>
    </w:p>
    <w:p>
      <w:r>
        <w:t>Future sponsorship can connect a company to a specific part of that experience, such as basketball courts, player meals, youth entrepreneurship, family activities, or awards. Recognition and employee involvement can be agreed with each sponsor and documented after the event through participation totals, photographs, and a record of the support provided.</w:t>
      </w:r>
    </w:p>
    <w:p>
      <w:pPr>
        <w:pStyle w:val="Heading1"/>
      </w:pPr>
      <w:r>
        <w:t>Acknowledging event support</w:t>
      </w:r>
    </w:p>
    <w:p>
      <w:r>
        <w:t>We thank the players, families, volunteers, community organizations, and businesses whose participation supported the Unity Ball Classic. Event materials identify the following sponsors and partners:</w:t>
      </w:r>
    </w:p>
    <w:p>
      <w:r>
        <w:t>HELP / HELP CVI; Connoisseur Media; Gray Media / WNEM-TV5; McDonald Auto Group; ChoiceOne Bank; State Street Behavioral Services LLC; McDowell Healing Arts Center; UA Local 85; Saginaw County ALPACT; MiLEAP; and Building Blocks Childcare &amp; Preschool.</w:t>
      </w:r>
    </w:p>
    <w:p>
      <w:r>
        <w:t>Their recognition here relates to the Unity Ball Classic. The Dow Event Center is identified as the event venue.</w:t>
      </w:r>
    </w:p>
    <w:p>
      <w:pPr>
        <w:pStyle w:val="Heading1"/>
      </w:pPr>
      <w:r>
        <w:t>Building on the 2026 event</w:t>
      </w:r>
    </w:p>
    <w:p>
      <w:r>
        <w:t>For the next Unity Ball Classic, we plan to add a Kids Corner designed to spark interest in art and STEM through creativity and hands-on learning. This dedicated space will give young attendees opportunities to explore, create, and discover alongside the basketball activities. We are seeking sponsors to help bring this addition to life and support the next event’s space, equipment, and family activities.</w:t>
      </w:r>
    </w:p>
    <w:p>
      <w:pPr>
        <w:spacing w:before="180"/>
      </w:pPr>
      <w:r>
        <w:rPr>
          <w:sz w:val="20"/>
        </w:rPr>
        <w:t>Nicole N. Liggins</w:t>
        <w:br/>
        <w:t>CEO and President</w:t>
        <w:br/>
        <w:t>Guided Grace Family &amp; Youth Services</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Theme="majorHAnsi" w:eastAsiaTheme="majorEastAsia" w:hAnsiTheme="majorHAnsi" w:cstheme="majorBidi" w:ascii="Calibri" w:hAnsi="Calibri"/>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Unity Ball Classic 2026 Event Impact Report</dc:title>
  <dc:subject/>
  <dc:creator>Guided Grace Family &amp; Youth Services</dc:creator>
  <cp:keywords/>
  <dc:description>generated by python-docx</dc:description>
  <cp:lastModifiedBy/>
  <cp:revision>1</cp:revision>
  <dcterms:created xsi:type="dcterms:W3CDTF">2013-12-23T23:15:00Z</dcterms:created>
  <dcterms:modified xsi:type="dcterms:W3CDTF">2013-12-23T23:15:00Z</dcterms:modified>
  <cp:category/>
</cp:coreProperties>
</file>